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E113CE" w14:paraId="5AD127A8" w14:textId="77777777" w:rsidTr="00E113CE">
        <w:tc>
          <w:tcPr>
            <w:tcW w:w="9209" w:type="dxa"/>
            <w:shd w:val="clear" w:color="auto" w:fill="E8E8E8" w:themeFill="background2"/>
          </w:tcPr>
          <w:p w14:paraId="255F79D2" w14:textId="77777777" w:rsidR="00E113CE" w:rsidRPr="00D811A7" w:rsidRDefault="00E113CE" w:rsidP="0019727B">
            <w:pPr>
              <w:jc w:val="center"/>
              <w:rPr>
                <w:rFonts w:ascii="Verdana" w:hAnsi="Verdana"/>
                <w:b/>
                <w:bCs/>
              </w:rPr>
            </w:pPr>
            <w:r w:rsidRPr="00D811A7">
              <w:rPr>
                <w:rFonts w:ascii="Verdana" w:hAnsi="Verdana"/>
                <w:b/>
                <w:bCs/>
              </w:rPr>
              <w:t>Tema</w:t>
            </w:r>
          </w:p>
        </w:tc>
      </w:tr>
      <w:tr w:rsidR="00E113CE" w14:paraId="70C208B4" w14:textId="77777777" w:rsidTr="00E113CE">
        <w:tc>
          <w:tcPr>
            <w:tcW w:w="9209" w:type="dxa"/>
          </w:tcPr>
          <w:p w14:paraId="24EB44FB" w14:textId="77777777" w:rsidR="00E113CE" w:rsidRPr="00D811A7" w:rsidRDefault="00E113CE" w:rsidP="0019727B">
            <w:pPr>
              <w:jc w:val="both"/>
              <w:rPr>
                <w:rFonts w:ascii="Verdana" w:hAnsi="Verdana"/>
              </w:rPr>
            </w:pPr>
            <w:r w:rsidRPr="009902CB">
              <w:rPr>
                <w:rFonts w:ascii="Verdana" w:hAnsi="Verdana"/>
              </w:rPr>
              <w:t>Procedencia del medio de control de repetición contra un contratista en proceso de liquidación.</w:t>
            </w:r>
          </w:p>
        </w:tc>
      </w:tr>
      <w:tr w:rsidR="00E113CE" w14:paraId="258C50AA" w14:textId="77777777" w:rsidTr="00E113CE">
        <w:tc>
          <w:tcPr>
            <w:tcW w:w="9209" w:type="dxa"/>
            <w:shd w:val="clear" w:color="auto" w:fill="E8E8E8" w:themeFill="background2"/>
          </w:tcPr>
          <w:p w14:paraId="5ED4D215" w14:textId="77777777" w:rsidR="00E113CE" w:rsidRPr="00D811A7" w:rsidRDefault="00E113CE" w:rsidP="0019727B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CRM</w:t>
            </w:r>
          </w:p>
        </w:tc>
      </w:tr>
      <w:tr w:rsidR="00E113CE" w:rsidRPr="00654E1F" w14:paraId="66278998" w14:textId="77777777" w:rsidTr="00E113CE">
        <w:tc>
          <w:tcPr>
            <w:tcW w:w="9209" w:type="dxa"/>
          </w:tcPr>
          <w:p w14:paraId="12FF45DA" w14:textId="77777777" w:rsidR="00E113CE" w:rsidRPr="00654E1F" w:rsidRDefault="00E113CE" w:rsidP="0019727B">
            <w:pPr>
              <w:jc w:val="center"/>
              <w:rPr>
                <w:rFonts w:ascii="Verdana" w:hAnsi="Verdana"/>
              </w:rPr>
            </w:pPr>
            <w:r>
              <w:rPr>
                <w:rFonts w:ascii="Verdana" w:eastAsia="Verdana" w:hAnsi="Verdana"/>
              </w:rPr>
              <w:t>57591</w:t>
            </w:r>
          </w:p>
        </w:tc>
      </w:tr>
      <w:tr w:rsidR="00E113CE" w14:paraId="60BC5517" w14:textId="77777777" w:rsidTr="00E113CE">
        <w:tc>
          <w:tcPr>
            <w:tcW w:w="9209" w:type="dxa"/>
            <w:shd w:val="clear" w:color="auto" w:fill="E8E8E8" w:themeFill="background2"/>
          </w:tcPr>
          <w:p w14:paraId="15D67E6A" w14:textId="77777777" w:rsidR="00E113CE" w:rsidRPr="00D811A7" w:rsidRDefault="00E113CE" w:rsidP="0019727B">
            <w:pPr>
              <w:jc w:val="center"/>
              <w:rPr>
                <w:rFonts w:ascii="Verdana" w:hAnsi="Verdana"/>
                <w:b/>
                <w:bCs/>
              </w:rPr>
            </w:pPr>
            <w:r w:rsidRPr="00D811A7">
              <w:rPr>
                <w:rFonts w:ascii="Verdana" w:hAnsi="Verdana"/>
                <w:b/>
                <w:bCs/>
              </w:rPr>
              <w:t>Problema(s) jurídico(s)</w:t>
            </w:r>
          </w:p>
        </w:tc>
      </w:tr>
      <w:tr w:rsidR="00E113CE" w14:paraId="1ED0657D" w14:textId="77777777" w:rsidTr="00E113CE">
        <w:tc>
          <w:tcPr>
            <w:tcW w:w="9209" w:type="dxa"/>
          </w:tcPr>
          <w:p w14:paraId="52FF14DE" w14:textId="2F4BA432" w:rsidR="00E113CE" w:rsidRPr="00D811A7" w:rsidRDefault="00E113CE" w:rsidP="00E113CE">
            <w:pPr>
              <w:jc w:val="both"/>
              <w:rPr>
                <w:rFonts w:ascii="Verdana" w:hAnsi="Verdana"/>
              </w:rPr>
            </w:pPr>
            <w:r w:rsidRPr="009902CB">
              <w:rPr>
                <w:rFonts w:ascii="Verdana" w:hAnsi="Verdana"/>
              </w:rPr>
              <w:t>¿Es procedente el ejercicio del medio de control de repetición contra una sociedad contratista cuya conducta dio lugar a una indemnización asumida por la entidad estatal?</w:t>
            </w:r>
            <w:r>
              <w:rPr>
                <w:rFonts w:ascii="Verdana" w:hAnsi="Verdana"/>
              </w:rPr>
              <w:t xml:space="preserve">; </w:t>
            </w:r>
            <w:r w:rsidRPr="009902CB">
              <w:rPr>
                <w:rFonts w:ascii="Verdana" w:hAnsi="Verdana"/>
              </w:rPr>
              <w:t xml:space="preserve">¿Puede interponerse la acción de repetición si la sociedad contratista se encuentra en proceso de </w:t>
            </w:r>
            <w:proofErr w:type="gramStart"/>
            <w:r w:rsidRPr="009902CB">
              <w:rPr>
                <w:rFonts w:ascii="Verdana" w:hAnsi="Verdana"/>
              </w:rPr>
              <w:t>liquidación?</w:t>
            </w:r>
            <w:r>
              <w:rPr>
                <w:rFonts w:ascii="Verdana" w:hAnsi="Verdana"/>
              </w:rPr>
              <w:t>.</w:t>
            </w:r>
            <w:proofErr w:type="gramEnd"/>
            <w:r>
              <w:rPr>
                <w:rFonts w:ascii="Verdana" w:hAnsi="Verdana"/>
              </w:rPr>
              <w:t xml:space="preserve"> </w:t>
            </w:r>
          </w:p>
        </w:tc>
      </w:tr>
      <w:tr w:rsidR="00E113CE" w14:paraId="076BB5A6" w14:textId="77777777" w:rsidTr="00E113CE">
        <w:tc>
          <w:tcPr>
            <w:tcW w:w="9209" w:type="dxa"/>
            <w:shd w:val="clear" w:color="auto" w:fill="E8E8E8" w:themeFill="background2"/>
          </w:tcPr>
          <w:p w14:paraId="3BD221E9" w14:textId="77777777" w:rsidR="00E113CE" w:rsidRPr="00D811A7" w:rsidRDefault="00E113CE" w:rsidP="0019727B">
            <w:pPr>
              <w:jc w:val="center"/>
              <w:rPr>
                <w:rFonts w:ascii="Verdana" w:hAnsi="Verdana"/>
                <w:b/>
                <w:bCs/>
              </w:rPr>
            </w:pPr>
            <w:r w:rsidRPr="00D811A7">
              <w:rPr>
                <w:rFonts w:ascii="Verdana" w:hAnsi="Verdana"/>
                <w:b/>
                <w:bCs/>
              </w:rPr>
              <w:t>Análisis jurídico</w:t>
            </w:r>
          </w:p>
        </w:tc>
      </w:tr>
      <w:tr w:rsidR="00E113CE" w14:paraId="73D312F6" w14:textId="77777777" w:rsidTr="00E113CE">
        <w:tc>
          <w:tcPr>
            <w:tcW w:w="9209" w:type="dxa"/>
          </w:tcPr>
          <w:p w14:paraId="4A245827" w14:textId="77777777" w:rsidR="00E113CE" w:rsidRDefault="00E113CE" w:rsidP="0019727B">
            <w:pPr>
              <w:jc w:val="both"/>
              <w:rPr>
                <w:rFonts w:ascii="Verdana" w:hAnsi="Verdana"/>
              </w:rPr>
            </w:pPr>
            <w:r w:rsidRPr="009902CB">
              <w:rPr>
                <w:rFonts w:ascii="Verdana" w:hAnsi="Verdana"/>
              </w:rPr>
              <w:t>El medio de control de repetición (art. 90 CP, art. 2 Ley 678/2001, art. 142 CPACA) procede cuando el Estado, por conducta dolosa o gravemente culposa de un agente, exagente o particular en funciones públicas, ha debido indemnizar un daño antijurídico.</w:t>
            </w:r>
          </w:p>
          <w:p w14:paraId="6F56A882" w14:textId="77777777" w:rsidR="00E113CE" w:rsidRPr="009902CB" w:rsidRDefault="00E113CE" w:rsidP="0019727B">
            <w:pPr>
              <w:jc w:val="both"/>
              <w:rPr>
                <w:rFonts w:ascii="Verdana" w:hAnsi="Verdana"/>
              </w:rPr>
            </w:pPr>
          </w:p>
          <w:p w14:paraId="6A8B62FC" w14:textId="77777777" w:rsidR="00E113CE" w:rsidRDefault="00E113CE" w:rsidP="0019727B">
            <w:pPr>
              <w:jc w:val="both"/>
              <w:rPr>
                <w:rFonts w:ascii="Verdana" w:hAnsi="Verdana"/>
              </w:rPr>
            </w:pPr>
            <w:r w:rsidRPr="009902CB">
              <w:rPr>
                <w:rFonts w:ascii="Verdana" w:hAnsi="Verdana"/>
              </w:rPr>
              <w:t>El artículo 2 de la Ley 678 de 2001, en su parágrafo 1°, extiende expresamente la responsabilidad a contratistas, interventores, consultores y asesores, considerándolos particulares que ejercen funciones públicas en todo lo relacionado con la ejecución contractual</w:t>
            </w:r>
            <w:r>
              <w:rPr>
                <w:rFonts w:ascii="Verdana" w:hAnsi="Verdana"/>
              </w:rPr>
              <w:t xml:space="preserve">, </w:t>
            </w:r>
            <w:r w:rsidRPr="009902CB">
              <w:rPr>
                <w:rFonts w:ascii="Verdana" w:hAnsi="Verdana"/>
              </w:rPr>
              <w:t>régimen</w:t>
            </w:r>
            <w:r>
              <w:rPr>
                <w:rFonts w:ascii="Verdana" w:hAnsi="Verdana"/>
              </w:rPr>
              <w:t xml:space="preserve"> que</w:t>
            </w:r>
            <w:r w:rsidRPr="009902CB">
              <w:rPr>
                <w:rFonts w:ascii="Verdana" w:hAnsi="Verdana"/>
              </w:rPr>
              <w:t xml:space="preserve"> fue declarado exequible por la Corte Constitucional (C-484 de 2002).</w:t>
            </w:r>
          </w:p>
          <w:p w14:paraId="00613CC9" w14:textId="77777777" w:rsidR="00E113CE" w:rsidRPr="009902CB" w:rsidRDefault="00E113CE" w:rsidP="0019727B">
            <w:pPr>
              <w:jc w:val="both"/>
              <w:rPr>
                <w:rFonts w:ascii="Verdana" w:hAnsi="Verdana"/>
              </w:rPr>
            </w:pPr>
          </w:p>
          <w:p w14:paraId="2D659954" w14:textId="77777777" w:rsidR="00E113CE" w:rsidRDefault="00E113CE" w:rsidP="0019727B">
            <w:pPr>
              <w:jc w:val="both"/>
              <w:rPr>
                <w:rFonts w:ascii="Verdana" w:hAnsi="Verdana"/>
              </w:rPr>
            </w:pPr>
            <w:r w:rsidRPr="009902CB">
              <w:rPr>
                <w:rFonts w:ascii="Verdana" w:hAnsi="Verdana"/>
              </w:rPr>
              <w:t>Así mismo, la jurisprudencia del Consejo de Estado ha ratificado la procedencia de la repetición contra particulares contratistas, en tanto su conducta dolosa o gravemente culposa cause una condena al Estado.</w:t>
            </w:r>
          </w:p>
          <w:p w14:paraId="2DB7E8BC" w14:textId="77777777" w:rsidR="00E113CE" w:rsidRPr="009902CB" w:rsidRDefault="00E113CE" w:rsidP="0019727B">
            <w:pPr>
              <w:jc w:val="both"/>
              <w:rPr>
                <w:rFonts w:ascii="Verdana" w:hAnsi="Verdana"/>
              </w:rPr>
            </w:pPr>
          </w:p>
          <w:p w14:paraId="03684586" w14:textId="113D9CEB" w:rsidR="00E113CE" w:rsidRDefault="00E113CE" w:rsidP="0019727B">
            <w:pPr>
              <w:jc w:val="both"/>
              <w:rPr>
                <w:rFonts w:ascii="Verdana" w:hAnsi="Verdana"/>
              </w:rPr>
            </w:pPr>
            <w:r w:rsidRPr="009902CB">
              <w:rPr>
                <w:rFonts w:ascii="Verdana" w:hAnsi="Verdana"/>
              </w:rPr>
              <w:t>En este caso, la </w:t>
            </w:r>
            <w:r>
              <w:rPr>
                <w:rFonts w:ascii="Verdana" w:hAnsi="Verdana"/>
              </w:rPr>
              <w:t>consultante</w:t>
            </w:r>
            <w:r w:rsidRPr="009902CB">
              <w:rPr>
                <w:rFonts w:ascii="Verdana" w:hAnsi="Verdana"/>
              </w:rPr>
              <w:t xml:space="preserve"> asumió un pago derivado de un acuerdo conciliatorio como consecuencia del incumplimiento laboral de</w:t>
            </w:r>
            <w:r>
              <w:rPr>
                <w:rFonts w:ascii="Verdana" w:hAnsi="Verdana"/>
              </w:rPr>
              <w:t xml:space="preserve"> un</w:t>
            </w:r>
            <w:r>
              <w:rPr>
                <w:rFonts w:ascii="Verdana" w:hAnsi="Verdana"/>
              </w:rPr>
              <w:t xml:space="preserve"> contratista</w:t>
            </w:r>
            <w:r w:rsidRPr="009902CB">
              <w:rPr>
                <w:rFonts w:ascii="Verdana" w:hAnsi="Verdana"/>
              </w:rPr>
              <w:t>, lo cual configura el requisito patrimonial habilitante para iniciar la acción</w:t>
            </w:r>
            <w:r>
              <w:rPr>
                <w:rFonts w:ascii="Verdana" w:hAnsi="Verdana"/>
              </w:rPr>
              <w:t>. N</w:t>
            </w:r>
            <w:r w:rsidRPr="009902CB">
              <w:rPr>
                <w:rFonts w:ascii="Verdana" w:hAnsi="Verdana"/>
              </w:rPr>
              <w:t>o obstante, para que la acción prospere, la entidad deberá demostrar que el incumplimiento fue doloso o gravemente culposo, no meramente contractual.</w:t>
            </w:r>
          </w:p>
          <w:p w14:paraId="523FD542" w14:textId="77777777" w:rsidR="00E113CE" w:rsidRPr="009902CB" w:rsidRDefault="00E113CE" w:rsidP="0019727B">
            <w:pPr>
              <w:jc w:val="both"/>
              <w:rPr>
                <w:rFonts w:ascii="Verdana" w:hAnsi="Verdana"/>
              </w:rPr>
            </w:pPr>
          </w:p>
          <w:p w14:paraId="75E52BED" w14:textId="77777777" w:rsidR="00E113CE" w:rsidRPr="009902CB" w:rsidRDefault="00E113CE" w:rsidP="0019727B">
            <w:pPr>
              <w:jc w:val="both"/>
              <w:rPr>
                <w:rFonts w:ascii="Verdana" w:hAnsi="Verdana"/>
              </w:rPr>
            </w:pPr>
            <w:r w:rsidRPr="009902CB">
              <w:rPr>
                <w:rFonts w:ascii="Verdana" w:hAnsi="Verdana"/>
              </w:rPr>
              <w:t>Sobre la capacidad jurídica de las sociedades en liquidación, el artículo 222 del Código de Comercio establece que conservan capacidad limitada a los actos necesarios para su liquidación, lo cual incluye comparecer en juicio</w:t>
            </w:r>
            <w:r>
              <w:rPr>
                <w:rFonts w:ascii="Verdana" w:hAnsi="Verdana"/>
              </w:rPr>
              <w:t>. D</w:t>
            </w:r>
            <w:r w:rsidRPr="009902CB">
              <w:rPr>
                <w:rFonts w:ascii="Verdana" w:hAnsi="Verdana"/>
              </w:rPr>
              <w:t xml:space="preserve">icha capacidad subsiste hasta que se registre la </w:t>
            </w:r>
            <w:r>
              <w:rPr>
                <w:rFonts w:ascii="Verdana" w:hAnsi="Verdana"/>
              </w:rPr>
              <w:t xml:space="preserve">aprobación de la </w:t>
            </w:r>
            <w:r w:rsidRPr="009902CB">
              <w:rPr>
                <w:rFonts w:ascii="Verdana" w:hAnsi="Verdana"/>
              </w:rPr>
              <w:t>cuenta final de l</w:t>
            </w:r>
            <w:r>
              <w:rPr>
                <w:rFonts w:ascii="Verdana" w:hAnsi="Verdana"/>
              </w:rPr>
              <w:t>a l</w:t>
            </w:r>
            <w:r w:rsidRPr="009902CB">
              <w:rPr>
                <w:rFonts w:ascii="Verdana" w:hAnsi="Verdana"/>
              </w:rPr>
              <w:t>iquidación en la Cámara de Comercio, momento en el cual la sociedad se extingue jurídicamente.</w:t>
            </w:r>
          </w:p>
        </w:tc>
      </w:tr>
      <w:tr w:rsidR="00E113CE" w14:paraId="172AD11D" w14:textId="77777777" w:rsidTr="00E113CE">
        <w:tc>
          <w:tcPr>
            <w:tcW w:w="9209" w:type="dxa"/>
            <w:shd w:val="clear" w:color="auto" w:fill="E8E8E8" w:themeFill="background2"/>
          </w:tcPr>
          <w:p w14:paraId="038B6EEB" w14:textId="77777777" w:rsidR="00E113CE" w:rsidRPr="00D811A7" w:rsidRDefault="00E113CE" w:rsidP="0019727B">
            <w:pPr>
              <w:jc w:val="center"/>
              <w:rPr>
                <w:rFonts w:ascii="Verdana" w:hAnsi="Verdana"/>
                <w:b/>
                <w:bCs/>
              </w:rPr>
            </w:pPr>
            <w:r w:rsidRPr="00D811A7">
              <w:rPr>
                <w:rFonts w:ascii="Verdana" w:hAnsi="Verdana"/>
                <w:b/>
                <w:bCs/>
              </w:rPr>
              <w:t>Respuesta</w:t>
            </w:r>
          </w:p>
        </w:tc>
      </w:tr>
      <w:tr w:rsidR="00E113CE" w14:paraId="26543ACC" w14:textId="77777777" w:rsidTr="00E113CE">
        <w:tc>
          <w:tcPr>
            <w:tcW w:w="9209" w:type="dxa"/>
          </w:tcPr>
          <w:p w14:paraId="0B6AAD01" w14:textId="3195289E" w:rsidR="00E113CE" w:rsidRDefault="00E113CE" w:rsidP="0019727B">
            <w:pPr>
              <w:jc w:val="both"/>
              <w:rPr>
                <w:rFonts w:ascii="Verdana" w:hAnsi="Verdana"/>
              </w:rPr>
            </w:pPr>
            <w:r w:rsidRPr="009902CB">
              <w:rPr>
                <w:rFonts w:ascii="Verdana" w:hAnsi="Verdana"/>
              </w:rPr>
              <w:t>La acción de repetición es procedente, siempre que:</w:t>
            </w:r>
            <w:r>
              <w:rPr>
                <w:rFonts w:ascii="Verdana" w:hAnsi="Verdana"/>
              </w:rPr>
              <w:t xml:space="preserve"> (i) </w:t>
            </w:r>
            <w:r w:rsidRPr="009902CB">
              <w:rPr>
                <w:rFonts w:ascii="Verdana" w:hAnsi="Verdana"/>
              </w:rPr>
              <w:t>Se pruebe que el pago realizado derivó de una conducta dolosa o gravemente culposa de la sociedad contratista</w:t>
            </w:r>
            <w:r>
              <w:rPr>
                <w:rFonts w:ascii="Verdana" w:hAnsi="Verdana"/>
              </w:rPr>
              <w:t>; (</w:t>
            </w:r>
            <w:proofErr w:type="spellStart"/>
            <w:r>
              <w:rPr>
                <w:rFonts w:ascii="Verdana" w:hAnsi="Verdana"/>
              </w:rPr>
              <w:t>ii</w:t>
            </w:r>
            <w:proofErr w:type="spellEnd"/>
            <w:r>
              <w:rPr>
                <w:rFonts w:ascii="Verdana" w:hAnsi="Verdana"/>
              </w:rPr>
              <w:t xml:space="preserve">) </w:t>
            </w:r>
            <w:r w:rsidRPr="009902CB">
              <w:rPr>
                <w:rFonts w:ascii="Verdana" w:hAnsi="Verdana"/>
              </w:rPr>
              <w:t xml:space="preserve">La sociedad no haya </w:t>
            </w:r>
            <w:r>
              <w:rPr>
                <w:rFonts w:ascii="Verdana" w:hAnsi="Verdana"/>
              </w:rPr>
              <w:t>inscrito</w:t>
            </w:r>
            <w:r w:rsidRPr="009902CB">
              <w:rPr>
                <w:rFonts w:ascii="Verdana" w:hAnsi="Verdana"/>
              </w:rPr>
              <w:t xml:space="preserve"> aún</w:t>
            </w:r>
            <w:r>
              <w:rPr>
                <w:rFonts w:ascii="Verdana" w:hAnsi="Verdana"/>
              </w:rPr>
              <w:t>,</w:t>
            </w:r>
            <w:r w:rsidRPr="009902CB">
              <w:rPr>
                <w:rFonts w:ascii="Verdana" w:hAnsi="Verdana"/>
              </w:rPr>
              <w:t xml:space="preserve"> en el registro mercantil</w:t>
            </w:r>
            <w:r>
              <w:rPr>
                <w:rFonts w:ascii="Verdana" w:hAnsi="Verdana"/>
              </w:rPr>
              <w:t>,</w:t>
            </w:r>
            <w:r w:rsidRPr="009902CB">
              <w:rPr>
                <w:rFonts w:ascii="Verdana" w:hAnsi="Verdana"/>
              </w:rPr>
              <w:t xml:space="preserve"> la cuenta final de</w:t>
            </w:r>
            <w:r>
              <w:rPr>
                <w:rFonts w:ascii="Verdana" w:hAnsi="Verdana"/>
              </w:rPr>
              <w:t xml:space="preserve"> la</w:t>
            </w:r>
            <w:r w:rsidRPr="009902CB">
              <w:rPr>
                <w:rFonts w:ascii="Verdana" w:hAnsi="Verdana"/>
              </w:rPr>
              <w:t xml:space="preserve"> liquidación</w:t>
            </w:r>
            <w:r>
              <w:rPr>
                <w:rFonts w:ascii="Verdana" w:hAnsi="Verdana"/>
              </w:rPr>
              <w:t xml:space="preserve"> de su patrimonio social</w:t>
            </w:r>
            <w:r>
              <w:rPr>
                <w:rFonts w:ascii="Verdana" w:hAnsi="Verdana"/>
              </w:rPr>
              <w:t xml:space="preserve">. </w:t>
            </w:r>
            <w:r w:rsidRPr="009902CB">
              <w:rPr>
                <w:rFonts w:ascii="Verdana" w:hAnsi="Verdana"/>
              </w:rPr>
              <w:t xml:space="preserve">En ese evento, la sociedad conserva capacidad jurídica limitada, por lo que puede ser demandada </w:t>
            </w:r>
            <w:r w:rsidRPr="009902CB">
              <w:rPr>
                <w:rFonts w:ascii="Verdana" w:hAnsi="Verdana"/>
              </w:rPr>
              <w:lastRenderedPageBreak/>
              <w:t>válidamente en ejercicio del medio de control de repetición, conforme a los artículos 2 de la Ley 678 de 2001 y 222 del Código de Comercio.</w:t>
            </w:r>
          </w:p>
          <w:p w14:paraId="167BBC5C" w14:textId="77777777" w:rsidR="00E113CE" w:rsidRDefault="00E113CE" w:rsidP="0019727B">
            <w:pPr>
              <w:jc w:val="both"/>
              <w:rPr>
                <w:rFonts w:ascii="Verdana" w:hAnsi="Verdana"/>
              </w:rPr>
            </w:pPr>
          </w:p>
          <w:p w14:paraId="23F5C35B" w14:textId="77777777" w:rsidR="00E113CE" w:rsidRPr="0096602B" w:rsidRDefault="00E113CE" w:rsidP="0019727B">
            <w:pPr>
              <w:jc w:val="both"/>
              <w:rPr>
                <w:rFonts w:ascii="Verdana" w:hAnsi="Verdana"/>
              </w:rPr>
            </w:pPr>
            <w:r w:rsidRPr="009902CB">
              <w:rPr>
                <w:rFonts w:ascii="Verdana" w:hAnsi="Verdana"/>
              </w:rPr>
              <w:t xml:space="preserve">La </w:t>
            </w:r>
            <w:r>
              <w:rPr>
                <w:rFonts w:ascii="Verdana" w:hAnsi="Verdana"/>
              </w:rPr>
              <w:t>consultante</w:t>
            </w:r>
            <w:r w:rsidRPr="009902CB">
              <w:rPr>
                <w:rFonts w:ascii="Verdana" w:hAnsi="Verdana"/>
              </w:rPr>
              <w:t xml:space="preserve"> debe verificar ante la Cámara de Comercio el estado actual de liquidación de </w:t>
            </w:r>
            <w:r>
              <w:rPr>
                <w:rFonts w:ascii="Verdana" w:hAnsi="Verdana"/>
              </w:rPr>
              <w:t>la sociedad contratista</w:t>
            </w:r>
            <w:r w:rsidRPr="009902CB">
              <w:rPr>
                <w:rFonts w:ascii="Verdana" w:hAnsi="Verdana"/>
              </w:rPr>
              <w:t xml:space="preserve"> y asegurarse de contar con pruebas suficientes sobre la gravedad del incumplimiento para estructurar una demanda con vocación de prosperidad.</w:t>
            </w:r>
          </w:p>
        </w:tc>
      </w:tr>
    </w:tbl>
    <w:p w14:paraId="08607B8E" w14:textId="77777777" w:rsidR="00E113CE" w:rsidRPr="00D811A7" w:rsidRDefault="00E113CE" w:rsidP="00E113CE"/>
    <w:p w14:paraId="161786AE" w14:textId="77777777" w:rsidR="006563FE" w:rsidRPr="00E113CE" w:rsidRDefault="006563FE" w:rsidP="00E113CE"/>
    <w:sectPr w:rsidR="006563FE" w:rsidRPr="00E113CE" w:rsidSect="00E113CE">
      <w:headerReference w:type="default" r:id="rId5"/>
      <w:footerReference w:type="default" r:id="rId6"/>
      <w:pgSz w:w="12240" w:h="15840"/>
      <w:pgMar w:top="212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s-ES"/>
      </w:rPr>
      <w:id w:val="-1071572585"/>
      <w:docPartObj>
        <w:docPartGallery w:val="Page Numbers (Bottom of Page)"/>
        <w:docPartUnique/>
      </w:docPartObj>
    </w:sdtPr>
    <w:sdtContent>
      <w:p w14:paraId="7C23AE6B" w14:textId="77777777" w:rsidR="00E113CE" w:rsidRDefault="00E113CE" w:rsidP="00234E5E">
        <w:pPr>
          <w:pStyle w:val="Piedepgina"/>
          <w:jc w:val="both"/>
        </w:pPr>
        <w:r w:rsidRPr="00234E5E">
          <w:rPr>
            <w:rFonts w:ascii="Verdana" w:hAnsi="Verdana"/>
            <w:sz w:val="18"/>
            <w:szCs w:val="18"/>
            <w:lang w:val="es-ES"/>
          </w:rPr>
          <w:t>GAL-F-10 V.</w:t>
        </w:r>
        <w:r>
          <w:rPr>
            <w:rFonts w:ascii="Verdana" w:hAnsi="Verdana"/>
            <w:sz w:val="18"/>
            <w:szCs w:val="18"/>
            <w:lang w:val="es-ES"/>
          </w:rPr>
          <w:t>2</w:t>
        </w:r>
        <w:r w:rsidRPr="00234E5E">
          <w:rPr>
            <w:rFonts w:ascii="Verdana" w:hAnsi="Verdana"/>
            <w:sz w:val="18"/>
            <w:szCs w:val="18"/>
            <w:lang w:val="es-ES"/>
          </w:rPr>
          <w:t xml:space="preserve"> </w:t>
        </w:r>
        <w:r w:rsidRPr="00234E5E">
          <w:rPr>
            <w:rFonts w:ascii="Verdana" w:hAnsi="Verdana"/>
            <w:sz w:val="18"/>
            <w:szCs w:val="18"/>
            <w:lang w:val="es-ES"/>
          </w:rPr>
          <w:tab/>
        </w:r>
        <w:r w:rsidRPr="00234E5E">
          <w:rPr>
            <w:rFonts w:ascii="Verdana" w:hAnsi="Verdana"/>
            <w:sz w:val="18"/>
            <w:szCs w:val="18"/>
            <w:lang w:val="es-ES"/>
          </w:rPr>
          <w:tab/>
          <w:t xml:space="preserve">Página | </w:t>
        </w:r>
        <w:r w:rsidRPr="00234E5E">
          <w:rPr>
            <w:rFonts w:ascii="Verdana" w:hAnsi="Verdana"/>
            <w:sz w:val="18"/>
            <w:szCs w:val="18"/>
          </w:rPr>
          <w:fldChar w:fldCharType="begin"/>
        </w:r>
        <w:r w:rsidRPr="00234E5E">
          <w:rPr>
            <w:rFonts w:ascii="Verdana" w:hAnsi="Verdana"/>
            <w:sz w:val="18"/>
            <w:szCs w:val="18"/>
          </w:rPr>
          <w:instrText>PAGE   \* MERGEFORMAT</w:instrText>
        </w:r>
        <w:r w:rsidRPr="00234E5E">
          <w:rPr>
            <w:rFonts w:ascii="Verdana" w:hAnsi="Verdana"/>
            <w:sz w:val="18"/>
            <w:szCs w:val="18"/>
          </w:rPr>
          <w:fldChar w:fldCharType="separate"/>
        </w:r>
        <w:r w:rsidRPr="00234E5E">
          <w:rPr>
            <w:rFonts w:ascii="Verdana" w:hAnsi="Verdana"/>
            <w:noProof/>
            <w:sz w:val="18"/>
            <w:szCs w:val="18"/>
            <w:lang w:val="es-ES"/>
          </w:rPr>
          <w:t>1</w:t>
        </w:r>
        <w:r w:rsidRPr="00234E5E">
          <w:rPr>
            <w:rFonts w:ascii="Verdana" w:hAnsi="Verdana"/>
            <w:sz w:val="18"/>
            <w:szCs w:val="18"/>
          </w:rPr>
          <w:fldChar w:fldCharType="end"/>
        </w:r>
        <w:r>
          <w:rPr>
            <w:lang w:val="es-ES"/>
          </w:rPr>
          <w:t xml:space="preserve"> </w:t>
        </w:r>
      </w:p>
    </w:sdtContent>
  </w:sdt>
  <w:p w14:paraId="7FE738C7" w14:textId="77777777" w:rsidR="00E113CE" w:rsidRPr="00D34D20" w:rsidRDefault="00E113CE" w:rsidP="00D34D20">
    <w:pPr>
      <w:spacing w:line="276" w:lineRule="auto"/>
      <w:jc w:val="both"/>
      <w:rPr>
        <w:rFonts w:ascii="Helvetica" w:hAnsi="Helvetic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6FDCA" w14:textId="77777777" w:rsidR="00E113CE" w:rsidRDefault="00E113CE">
    <w:pPr>
      <w:pStyle w:val="Encabezado"/>
    </w:pPr>
    <w:r>
      <w:rPr>
        <w:noProof/>
        <w14:ligatures w14:val="standardContextual"/>
      </w:rPr>
      <w:drawing>
        <wp:inline distT="0" distB="0" distL="0" distR="0" wp14:anchorId="001270DF" wp14:editId="5E80CC3D">
          <wp:extent cx="1657350" cy="951230"/>
          <wp:effectExtent l="0" t="0" r="0" b="1270"/>
          <wp:docPr id="814487639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4487639" name="Imagen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951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</w:t>
    </w:r>
    <w:r>
      <w:rPr>
        <w:rFonts w:ascii="Verdana" w:hAnsi="Verdana"/>
        <w:noProof/>
        <w:sz w:val="14"/>
        <w:szCs w:val="14"/>
        <w:lang w:val="es-ES"/>
      </w:rPr>
      <w:drawing>
        <wp:inline distT="0" distB="0" distL="0" distR="0" wp14:anchorId="0E2826F7" wp14:editId="356B9AF0">
          <wp:extent cx="798645" cy="713294"/>
          <wp:effectExtent l="0" t="0" r="0" b="0"/>
          <wp:docPr id="2143066162" name="Imagen 2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3066162" name="Imagen 2" descr="Logotipo&#10;&#10;El contenido generado por IA puede ser incorrecto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98645" cy="7132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C7377"/>
    <w:multiLevelType w:val="multilevel"/>
    <w:tmpl w:val="D43A3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000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3CE"/>
    <w:rsid w:val="00045689"/>
    <w:rsid w:val="006563FE"/>
    <w:rsid w:val="006A1B54"/>
    <w:rsid w:val="00E1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76EDB"/>
  <w15:chartTrackingRefBased/>
  <w15:docId w15:val="{9EA262D1-C078-4EB5-9AD1-FC30B319C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3CE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CO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113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113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113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113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113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113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113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113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113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113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113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113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113C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113C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113C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113C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113C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113C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113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113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113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113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113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113C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113C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113C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113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113C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113C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113C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113CE"/>
    <w:rPr>
      <w:rFonts w:ascii="Times New Roman" w:eastAsia="Times New Roman" w:hAnsi="Times New Roman" w:cs="Times New Roman"/>
      <w:kern w:val="0"/>
      <w:lang w:eastAsia="es-CO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E113C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113CE"/>
    <w:rPr>
      <w:rFonts w:ascii="Times New Roman" w:eastAsia="Times New Roman" w:hAnsi="Times New Roman" w:cs="Times New Roman"/>
      <w:kern w:val="0"/>
      <w:lang w:eastAsia="es-CO"/>
      <w14:ligatures w14:val="none"/>
    </w:rPr>
  </w:style>
  <w:style w:type="table" w:styleId="Tablaconcuadrcula">
    <w:name w:val="Table Grid"/>
    <w:basedOn w:val="Tablanormal"/>
    <w:uiPriority w:val="39"/>
    <w:rsid w:val="00E113CE"/>
    <w:pPr>
      <w:spacing w:after="0" w:line="240" w:lineRule="auto"/>
    </w:pPr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header" Target="header1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56D347BCF97140903BBEF79300E891" ma:contentTypeVersion="7" ma:contentTypeDescription="Crear nuevo documento." ma:contentTypeScope="" ma:versionID="b6ae9701c65d9de98894af30d43beb4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644806e754d36b6067b92b8b614ca2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internalName="PublishingExpirationDate">
      <xsd:simpleType>
        <xsd:restriction base="dms:Unknown"/>
      </xsd:simpleType>
    </xsd:element>
    <xsd:element name="AverageRating" ma:index="10" nillable="true" ma:displayName="Clasificación (0-5)" ma:decimals="2" ma:description="Valor promedio de todas las clasificaciones que se han enviado" ma:internalName="AverageRating" ma:readOnly="true">
      <xsd:simpleType>
        <xsd:restriction base="dms:Number"/>
      </xsd:simpleType>
    </xsd:element>
    <xsd:element name="RatingCount" ma:index="11" nillable="true" ma:displayName="Número de clasificaciones" ma:decimals="0" ma:description="Número de clasificaciones enviado" ma:internalName="RatingCount" ma:readOnly="true">
      <xsd:simpleType>
        <xsd:restriction base="dms:Number"/>
      </xsd:simpleType>
    </xsd:element>
    <xsd:element name="RatedBy" ma:index="12" nillable="true" ma:displayName="Valorado por" ma:description="Los usuarios valoraron el elemento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3" nillable="true" ma:displayName="Valoraciones de usuario" ma:description="Valoraciones de usuario para el elemento" ma:hidden="true" ma:internalName="Ratings">
      <xsd:simpleType>
        <xsd:restriction base="dms:Note"/>
      </xsd:simpleType>
    </xsd:element>
    <xsd:element name="LikesCount" ma:index="14" nillable="true" ma:displayName="Número de Me gusta" ma:internalName="LikesCount">
      <xsd:simpleType>
        <xsd:restriction base="dms:Unknown"/>
      </xsd:simpleType>
    </xsd:element>
    <xsd:element name="LikedBy" ma:index="15" nillable="true" ma:displayName="Gusta a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PublishingExpirationDate xmlns="http://schemas.microsoft.com/sharepoint/v3" xsi:nil="true"/>
    <PublishingStartDate xmlns="http://schemas.microsoft.com/sharepoint/v3" xsi:nil="true"/>
    <RatedBy xmlns="http://schemas.microsoft.com/sharepoint/v3">
      <UserInfo>
        <DisplayName/>
        <AccountId xsi:nil="true"/>
        <AccountType/>
      </UserInfo>
    </RatedBy>
  </documentManagement>
</p:properties>
</file>

<file path=customXml/itemProps1.xml><?xml version="1.0" encoding="utf-8"?>
<ds:datastoreItem xmlns:ds="http://schemas.openxmlformats.org/officeDocument/2006/customXml" ds:itemID="{2F3C1F41-F1D3-439D-8998-A11564AFCE88}"/>
</file>

<file path=customXml/itemProps2.xml><?xml version="1.0" encoding="utf-8"?>
<ds:datastoreItem xmlns:ds="http://schemas.openxmlformats.org/officeDocument/2006/customXml" ds:itemID="{27C394F6-6487-467F-8DF3-9EE26E3CCB2A}"/>
</file>

<file path=customXml/itemProps3.xml><?xml version="1.0" encoding="utf-8"?>
<ds:datastoreItem xmlns:ds="http://schemas.openxmlformats.org/officeDocument/2006/customXml" ds:itemID="{C2050E9A-0D0D-4658-9384-17B117EAC4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437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Yomaira.Espinosa@defensajuridica.gov.co</dc:creator>
  <cp:keywords/>
  <dc:description/>
  <cp:lastModifiedBy>Daniel Alberto Realpe Mejia</cp:lastModifiedBy>
  <cp:revision>1</cp:revision>
  <dcterms:created xsi:type="dcterms:W3CDTF">2025-11-26T15:22:00Z</dcterms:created>
  <dcterms:modified xsi:type="dcterms:W3CDTF">2025-11-26T15:27:00Z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0x0101006056D347BCF97140903BBEF79300E891</vt:lpwstr>
  </property>
</Properties>
</file>